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46A7D" w:rsidRPr="006E1595" w:rsidTr="00C725B1">
        <w:tc>
          <w:tcPr>
            <w:tcW w:w="4818" w:type="dxa"/>
          </w:tcPr>
          <w:p w:rsidR="00462A1F" w:rsidRPr="00C725B1" w:rsidRDefault="00462A1F" w:rsidP="00462A1F">
            <w:pPr>
              <w:pStyle w:val="Encabezado"/>
              <w:tabs>
                <w:tab w:val="left" w:pos="4820"/>
              </w:tabs>
              <w:rPr>
                <w:rFonts w:ascii="Verdana" w:hAnsi="Verdana"/>
                <w:smallCaps/>
                <w:spacing w:val="-2"/>
                <w:sz w:val="18"/>
                <w:szCs w:val="18"/>
                <w:lang w:val="fr-FR"/>
              </w:rPr>
            </w:pPr>
            <w:bookmarkStart w:id="0" w:name="_GoBack"/>
            <w:bookmarkEnd w:id="0"/>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Encabezado"/>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p>
          <w:p w:rsidR="00462A1F" w:rsidRPr="00167986" w:rsidRDefault="00462A1F" w:rsidP="00462A1F">
            <w:pPr>
              <w:pStyle w:val="Encabezado"/>
              <w:tabs>
                <w:tab w:val="left" w:pos="4820"/>
              </w:tabs>
              <w:rPr>
                <w:rFonts w:ascii="Verdana" w:hAnsi="Verdana"/>
                <w:spacing w:val="-2"/>
                <w:sz w:val="18"/>
                <w:szCs w:val="18"/>
                <w:lang w:val="fr-FR"/>
              </w:rPr>
            </w:pPr>
          </w:p>
          <w:p w:rsidR="00462A1F" w:rsidRPr="00C725B1" w:rsidRDefault="00462A1F" w:rsidP="00462A1F">
            <w:pPr>
              <w:pStyle w:val="Encabezado"/>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5A6AFE">
              <w:rPr>
                <w:rFonts w:ascii="Verdana" w:hAnsi="Verdana"/>
                <w:spacing w:val="-2"/>
                <w:sz w:val="18"/>
                <w:szCs w:val="18"/>
                <w:lang w:val="fr-FR"/>
              </w:rPr>
              <w:t>révisé</w:t>
            </w:r>
          </w:p>
          <w:p w:rsidR="00462A1F" w:rsidRPr="00C725B1" w:rsidRDefault="00462A1F" w:rsidP="00462A1F">
            <w:pPr>
              <w:pStyle w:val="Encabezado"/>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Encabezado"/>
              <w:tabs>
                <w:tab w:val="left" w:pos="4820"/>
              </w:tabs>
              <w:rPr>
                <w:rFonts w:ascii="Verdana" w:hAnsi="Verdana"/>
                <w:spacing w:val="-2"/>
                <w:sz w:val="18"/>
                <w:szCs w:val="18"/>
                <w:lang w:val="pt-BR"/>
              </w:rPr>
            </w:pPr>
          </w:p>
          <w:p w:rsidR="00646A7D" w:rsidRDefault="005A6AFE" w:rsidP="0011177D">
            <w:pPr>
              <w:pStyle w:val="Encabezado"/>
              <w:tabs>
                <w:tab w:val="left" w:pos="4820"/>
              </w:tabs>
              <w:rPr>
                <w:rFonts w:ascii="Verdana" w:hAnsi="Verdana"/>
                <w:spacing w:val="-2"/>
                <w:sz w:val="18"/>
                <w:szCs w:val="18"/>
                <w:lang w:val="pt-BR"/>
              </w:rPr>
            </w:pPr>
            <w:r>
              <w:rPr>
                <w:rFonts w:ascii="Verdana" w:hAnsi="Verdana"/>
                <w:spacing w:val="-2"/>
                <w:sz w:val="18"/>
                <w:szCs w:val="18"/>
                <w:lang w:val="pt-BR"/>
              </w:rPr>
              <w:t>juin</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Encabezado"/>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Encabezado"/>
              <w:tabs>
                <w:tab w:val="left" w:pos="4820"/>
              </w:tabs>
              <w:jc w:val="right"/>
              <w:rPr>
                <w:rFonts w:ascii="Bookman Old Style" w:hAnsi="Bookman Old Style"/>
                <w:b/>
                <w:spacing w:val="-2"/>
                <w:sz w:val="22"/>
                <w:lang w:val="en-GB"/>
              </w:rPr>
            </w:pPr>
            <w:r w:rsidRPr="006E1595">
              <w:rPr>
                <w:rFonts w:ascii="Garamond" w:hAnsi="Garamond"/>
                <w:noProof/>
                <w:spacing w:val="-2"/>
                <w:lang w:val="es-MX" w:eastAsia="es-MX"/>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00B45D2F">
        <w:rPr>
          <w:rFonts w:ascii="Verdana" w:hAnsi="Verdana"/>
          <w:i/>
          <w:sz w:val="18"/>
          <w:szCs w:val="18"/>
          <w:lang w:val="fr-FR"/>
        </w:rPr>
        <w:t xml:space="preserve">(révisé) </w:t>
      </w:r>
      <w:r w:rsidRPr="00592105">
        <w:rPr>
          <w:rFonts w:ascii="Verdana" w:hAnsi="Verdana"/>
          <w:i/>
          <w:sz w:val="18"/>
          <w:szCs w:val="18"/>
          <w:lang w:val="fr-FR"/>
        </w:rPr>
        <w:t>de</w:t>
      </w:r>
      <w:r w:rsidR="00B45D2F">
        <w:rPr>
          <w:rFonts w:ascii="Verdana" w:hAnsi="Verdana"/>
          <w:i/>
          <w:sz w:val="18"/>
          <w:szCs w:val="18"/>
          <w:lang w:val="fr-FR"/>
        </w:rPr>
        <w:t>juin</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Refdenotaalpie"/>
          <w:rFonts w:ascii="Verdana" w:eastAsia="Times New Roman" w:hAnsi="Verdana" w:cs="Arial"/>
          <w:sz w:val="20"/>
          <w:szCs w:val="20"/>
          <w:lang w:val="en-ZA"/>
        </w:rPr>
        <w:footnoteReference w:id="2"/>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Refdenotaalpie"/>
          <w:rFonts w:ascii="Verdana" w:eastAsia="Times New Roman" w:hAnsi="Verdana" w:cs="Arial"/>
          <w:sz w:val="20"/>
          <w:szCs w:val="20"/>
          <w:lang w:val="en-ZA"/>
        </w:rPr>
        <w:footnoteReference w:id="3"/>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Refdenotaalpie"/>
          <w:rFonts w:ascii="Verdana" w:eastAsia="Times New Roman" w:hAnsi="Verdana" w:cs="Arial"/>
          <w:color w:val="000000"/>
          <w:sz w:val="20"/>
          <w:szCs w:val="20"/>
          <w:lang w:val="en-ZA"/>
        </w:rPr>
        <w:footnoteReference w:id="4"/>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Pr>
          <w:rFonts w:ascii="Verdana" w:hAnsi="Verdana"/>
          <w:sz w:val="20"/>
          <w:szCs w:val="20"/>
        </w:rPr>
        <w:t>in order to</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aconcuadrcula"/>
        <w:tblW w:w="0" w:type="auto"/>
        <w:shd w:val="clear" w:color="auto" w:fill="D0CECE" w:themeFill="background2" w:themeFillShade="E6"/>
        <w:tblLayout w:type="fixed"/>
        <w:tblLook w:val="04A0"/>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955FE6"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1"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F45716">
              <w:rPr>
                <w:rFonts w:ascii="Verdana" w:hAnsi="Verdana"/>
                <w:sz w:val="20"/>
                <w:szCs w:val="20"/>
              </w:rPr>
              <w:t>Estados Unidos Mexicanos</w:t>
            </w:r>
            <w:r w:rsidRPr="00914AAA">
              <w:rPr>
                <w:rFonts w:ascii="Verdana" w:hAnsi="Verdana"/>
                <w:sz w:val="20"/>
                <w:szCs w:val="20"/>
              </w:rPr>
              <w:fldChar w:fldCharType="end"/>
            </w:r>
            <w:bookmarkEnd w:id="1"/>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955FE6"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Default="00955FE6"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955FE6"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955FE6" w:rsidP="00F025DC">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 enter text here -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Encabezado"/>
        <w:spacing w:after="120"/>
        <w:ind w:left="576"/>
        <w:jc w:val="both"/>
        <w:rPr>
          <w:rFonts w:ascii="Verdana" w:hAnsi="Verdana"/>
          <w:b/>
          <w:sz w:val="20"/>
          <w:szCs w:val="20"/>
          <w:highlight w:val="darkGray"/>
          <w:lang w:val="en-GB" w:eastAsia="ko-KR"/>
        </w:rPr>
      </w:pPr>
    </w:p>
    <w:p w:rsidR="00DE7892" w:rsidRDefault="00BC2CBF" w:rsidP="00DA2803">
      <w:pPr>
        <w:pStyle w:val="Encabezado"/>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3D562A" w:rsidRPr="007A37A9">
        <w:rPr>
          <w:rFonts w:ascii="Verdana" w:hAnsi="Verdana"/>
          <w:b/>
          <w:sz w:val="20"/>
          <w:szCs w:val="20"/>
          <w:highlight w:val="darkGray"/>
          <w:lang w:val="en-GB" w:eastAsia="ko-KR"/>
        </w:rPr>
        <w:t>CENTRAL AUTHORITIES</w:t>
      </w:r>
      <w:r w:rsidR="0037448C" w:rsidRPr="007A37A9">
        <w:rPr>
          <w:rStyle w:val="Refdenotaalpie"/>
          <w:rFonts w:ascii="Verdana" w:hAnsi="Verdana"/>
          <w:b/>
          <w:sz w:val="20"/>
          <w:szCs w:val="20"/>
          <w:lang w:val="en-GB" w:eastAsia="ko-KR"/>
        </w:rPr>
        <w:footnoteReference w:id="5"/>
      </w:r>
    </w:p>
    <w:p w:rsidR="00BC2CBF" w:rsidRPr="007A37A9" w:rsidRDefault="00BC2CBF" w:rsidP="00DA2803">
      <w:pPr>
        <w:pStyle w:val="Encabezado"/>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Encabezado"/>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Encabezado"/>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A62C0D" w:rsidRPr="007A37A9">
              <w:rPr>
                <w:rFonts w:ascii="Verdana" w:hAnsi="Verdana" w:cs="Arial"/>
                <w:sz w:val="20"/>
                <w:szCs w:val="20"/>
                <w:highlight w:val="darkGray"/>
                <w:lang w:val="en-GB" w:eastAsia="ko-KR"/>
              </w:rPr>
              <w:t>/jurisdiction</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Encabezado"/>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Encabezado"/>
        <w:spacing w:after="120"/>
        <w:jc w:val="both"/>
        <w:rPr>
          <w:rFonts w:ascii="Verdana" w:hAnsi="Verdana"/>
          <w:b/>
          <w:sz w:val="20"/>
          <w:szCs w:val="20"/>
          <w:lang w:val="en-GB" w:eastAsia="ko-KR"/>
        </w:rPr>
      </w:pPr>
    </w:p>
    <w:p w:rsidR="00A83EE1" w:rsidRPr="007A37A9" w:rsidRDefault="00BC2CBF" w:rsidP="00085BC1">
      <w:pPr>
        <w:pStyle w:val="Encabezado"/>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59095E" w:rsidRPr="007A37A9">
        <w:rPr>
          <w:rFonts w:ascii="Verdana" w:hAnsi="Verdana"/>
          <w:b/>
          <w:sz w:val="20"/>
          <w:szCs w:val="20"/>
          <w:lang w:val="en-GB" w:eastAsia="ko-KR"/>
        </w:rPr>
        <w:t>ENFORCEMENT</w:t>
      </w:r>
      <w:r w:rsidR="00722704">
        <w:rPr>
          <w:rStyle w:val="Refdenotaalpie"/>
          <w:rFonts w:ascii="Verdana" w:hAnsi="Verdana"/>
          <w:b/>
          <w:sz w:val="20"/>
          <w:szCs w:val="20"/>
          <w:lang w:val="en-GB" w:eastAsia="ko-KR"/>
        </w:rPr>
        <w:footnoteReference w:id="6"/>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2" w:name="_Toc305074346"/>
            <w:r w:rsidRPr="007A37A9">
              <w:rPr>
                <w:lang w:eastAsia="ko-KR"/>
              </w:rPr>
              <w:t>1.</w:t>
            </w:r>
            <w:r w:rsidR="00D633CE">
              <w:tab/>
            </w:r>
            <w:r w:rsidR="00DD1CBA" w:rsidRPr="007A37A9">
              <w:rPr>
                <w:lang w:eastAsia="ko-KR"/>
              </w:rPr>
              <w:t>COMPETENT</w:t>
            </w:r>
            <w:r w:rsidR="00771162" w:rsidRPr="007A37A9">
              <w:t xml:space="preserve">ENFORCEMENT </w:t>
            </w:r>
            <w:r w:rsidR="00085BC1" w:rsidRPr="007A37A9">
              <w:t>AUTHORITIES</w:t>
            </w:r>
            <w:bookmarkEnd w:id="2"/>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3"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Pr="007A37A9">
              <w:t xml:space="preserve">AUTHORITY </w:t>
            </w:r>
            <w:r w:rsidR="00DD1CBA" w:rsidRPr="007A37A9">
              <w:rPr>
                <w:lang w:eastAsia="ko-KR"/>
              </w:rPr>
              <w:t xml:space="preserve">that is responsible for theenforcement of </w:t>
            </w:r>
            <w:r w:rsidR="00DC244A" w:rsidRPr="007A37A9">
              <w:rPr>
                <w:lang w:eastAsia="ko-KR"/>
              </w:rPr>
              <w:t xml:space="preserve">NATIONAL </w:t>
            </w:r>
            <w:r w:rsidR="00DD1CBA" w:rsidRPr="007A37A9">
              <w:rPr>
                <w:lang w:eastAsia="ko-KR"/>
              </w:rPr>
              <w:t>protection orders</w:t>
            </w:r>
            <w:bookmarkEnd w:id="3"/>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955F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sidR="00F45716">
              <w:rPr>
                <w:rFonts w:ascii="Verdana" w:hAnsi="Verdana" w:cs="Arial"/>
                <w:sz w:val="20"/>
                <w:szCs w:val="20"/>
                <w:lang w:val="en-GB" w:eastAsia="ko-KR"/>
              </w:rPr>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955F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955F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955F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955F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955F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81758" w:rsidRPr="007A37A9">
              <w:t>(IF APPLICABLE)</w:t>
            </w:r>
            <w:bookmarkEnd w:id="4"/>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955FE6"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bookmarkStart w:id="5" w:name="Check1"/>
            <w:r w:rsidR="00097822">
              <w:rPr>
                <w:rFonts w:ascii="Verdana" w:hAnsi="Verdana" w:cs="Arial"/>
                <w:sz w:val="20"/>
                <w:szCs w:val="20"/>
                <w:lang w:val="en-GB" w:eastAsia="ko-KR"/>
              </w:rPr>
              <w:instrText xml:space="preserve"> FORMCHECKBOX </w:instrText>
            </w:r>
            <w:r w:rsidR="001B1BA9">
              <w:rPr>
                <w:rFonts w:ascii="Verdana" w:hAnsi="Verdana" w:cs="Arial"/>
                <w:sz w:val="20"/>
                <w:szCs w:val="20"/>
                <w:lang w:val="en-GB" w:eastAsia="ko-KR"/>
              </w:rPr>
            </w:r>
            <w:r>
              <w:rPr>
                <w:rFonts w:ascii="Verdana" w:hAnsi="Verdana" w:cs="Arial"/>
                <w:sz w:val="20"/>
                <w:szCs w:val="20"/>
                <w:lang w:val="en-GB" w:eastAsia="ko-KR"/>
              </w:rPr>
              <w:fldChar w:fldCharType="end"/>
            </w:r>
            <w:bookmarkEnd w:id="5"/>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955FE6"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ed/>
                  </w:checkBox>
                </w:ffData>
              </w:fldChar>
            </w:r>
            <w:bookmarkStart w:id="6" w:name="Check2"/>
            <w:r w:rsidR="006B1FE8">
              <w:rPr>
                <w:rFonts w:ascii="Verdana" w:hAnsi="Verdana" w:cs="Arial"/>
                <w:sz w:val="20"/>
                <w:szCs w:val="20"/>
                <w:lang w:val="en-GB" w:eastAsia="ko-KR"/>
              </w:rPr>
              <w:instrText xml:space="preserve"> FORMCHECKBOX </w:instrText>
            </w:r>
            <w:r w:rsidR="001B1BA9">
              <w:rPr>
                <w:rFonts w:ascii="Verdana" w:hAnsi="Verdana" w:cs="Arial"/>
                <w:sz w:val="20"/>
                <w:szCs w:val="20"/>
                <w:lang w:val="en-GB" w:eastAsia="ko-KR"/>
              </w:rPr>
            </w:r>
            <w:r>
              <w:rPr>
                <w:rFonts w:ascii="Verdana" w:hAnsi="Verdana" w:cs="Arial"/>
                <w:sz w:val="20"/>
                <w:szCs w:val="20"/>
                <w:lang w:val="en-GB" w:eastAsia="ko-KR"/>
              </w:rPr>
              <w:fldChar w:fldCharType="end"/>
            </w:r>
            <w:bookmarkEnd w:id="6"/>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955FE6"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955FE6"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ed w:val="0"/>
                  </w:checkBox>
                </w:ffData>
              </w:fldChar>
            </w:r>
            <w:r w:rsidR="006B1FE8">
              <w:rPr>
                <w:rFonts w:ascii="Verdana" w:hAnsi="Verdana" w:cs="Arial"/>
                <w:sz w:val="20"/>
                <w:szCs w:val="20"/>
                <w:lang w:val="en-GB" w:eastAsia="ko-KR"/>
              </w:rPr>
              <w:instrText xml:space="preserve"> FORMCHECKBOX </w:instrText>
            </w:r>
            <w:r w:rsidR="00F45716">
              <w:rPr>
                <w:rFonts w:ascii="Verdana" w:hAnsi="Verdana" w:cs="Arial"/>
                <w:sz w:val="20"/>
                <w:szCs w:val="20"/>
                <w:lang w:val="en-GB" w:eastAsia="ko-KR"/>
              </w:rPr>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955F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955F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Encabezado"/>
        <w:ind w:right="360"/>
        <w:rPr>
          <w:rFonts w:ascii="Verdana" w:hAnsi="Verdana"/>
          <w:b/>
          <w:sz w:val="20"/>
          <w:szCs w:val="20"/>
          <w:lang w:val="en-GB" w:eastAsia="ko-KR"/>
        </w:rPr>
      </w:pPr>
    </w:p>
    <w:p w:rsidR="009B45C4" w:rsidRPr="007A37A9" w:rsidRDefault="009B45C4" w:rsidP="004B0EDB">
      <w:pPr>
        <w:pStyle w:val="Encabezado"/>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Refdecomentario"/>
                <w:sz w:val="20"/>
                <w:szCs w:val="20"/>
              </w:rPr>
            </w:pPr>
            <w:r w:rsidRPr="00D0395E">
              <w:rPr>
                <w:highlight w:val="darkGray"/>
                <w:lang w:eastAsia="ko-KR"/>
              </w:rPr>
              <w:t>1.4. organisations /bodies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intendedprotected person</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Encabezado"/>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 xml:space="preserve">orderto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955FE6"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7" w:name="Check4"/>
            <w:r w:rsidR="006B1FE8">
              <w:rPr>
                <w:rFonts w:ascii="MS Gothic" w:eastAsia="MS Gothic" w:hAnsi="MS Gothic" w:hint="eastAsia"/>
                <w:sz w:val="20"/>
                <w:szCs w:val="20"/>
                <w:lang w:val="en-GB" w:eastAsia="ko-KR"/>
              </w:rPr>
              <w:instrText>FORMCHECKBOX</w:instrText>
            </w:r>
            <w:r w:rsidR="001B1BA9">
              <w:rPr>
                <w:rFonts w:ascii="MS Gothic" w:eastAsia="MS Gothic" w:hAnsi="MS Gothic"/>
                <w:sz w:val="20"/>
                <w:szCs w:val="20"/>
                <w:lang w:val="en-GB" w:eastAsia="ko-KR"/>
              </w:rPr>
            </w:r>
            <w:r>
              <w:rPr>
                <w:rFonts w:ascii="MS Gothic" w:eastAsia="MS Gothic" w:hAnsi="MS Gothic"/>
                <w:sz w:val="20"/>
                <w:szCs w:val="20"/>
                <w:lang w:val="en-GB" w:eastAsia="ko-KR"/>
              </w:rPr>
              <w:fldChar w:fldCharType="end"/>
            </w:r>
            <w:bookmarkEnd w:id="7"/>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955FE6"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8" w:name="Check3"/>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bookmarkEnd w:id="8"/>
            <w:r w:rsidR="006B1FE8">
              <w:rPr>
                <w:rFonts w:ascii="Verdana" w:hAnsi="Verdana"/>
                <w:sz w:val="20"/>
                <w:szCs w:val="20"/>
                <w:lang w:val="en-GB" w:eastAsia="ko-KR"/>
              </w:rPr>
              <w:tab/>
            </w:r>
            <w:r w:rsidR="00CE3AFC">
              <w:rPr>
                <w:rFonts w:ascii="Verdana" w:hAnsi="Verdana"/>
                <w:sz w:val="20"/>
                <w:szCs w:val="20"/>
                <w:lang w:val="en-GB" w:eastAsia="ko-KR"/>
              </w:rPr>
              <w:t>No</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955FE6"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sidR="001B1BA9">
              <w:rPr>
                <w:rFonts w:ascii="Verdana" w:hAnsi="Verdana"/>
                <w:sz w:val="20"/>
                <w:szCs w:val="20"/>
                <w:lang w:val="en-GB" w:eastAsia="ko-KR"/>
              </w:rPr>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1B1BA9">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1B1BA9">
              <w:rPr>
                <w:rFonts w:ascii="Verdana" w:hAnsi="Verdana"/>
                <w:noProof/>
                <w:sz w:val="20"/>
                <w:szCs w:val="20"/>
              </w:rPr>
              <w:t xml:space="preserve">The arrest depends what kind of breach was. </w:t>
            </w:r>
            <w:r w:rsidR="00955FE6">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955F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sidR="00803D3E">
              <w:rPr>
                <w:rFonts w:ascii="Verdana" w:hAnsi="Verdana"/>
                <w:sz w:val="20"/>
                <w:szCs w:val="20"/>
                <w:lang w:val="en-GB" w:eastAsia="ko-KR"/>
              </w:rPr>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803D3E">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3D3E">
              <w:rPr>
                <w:rFonts w:ascii="Verdana" w:hAnsi="Verdana"/>
                <w:noProof/>
                <w:sz w:val="20"/>
                <w:szCs w:val="20"/>
              </w:rPr>
              <w:t>If the breach was a little one.</w:t>
            </w:r>
            <w:r w:rsidR="00955FE6">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955F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sidR="00803D3E">
              <w:rPr>
                <w:rFonts w:ascii="Verdana" w:hAnsi="Verdana"/>
                <w:sz w:val="20"/>
                <w:szCs w:val="20"/>
                <w:lang w:val="en-GB" w:eastAsia="ko-KR"/>
              </w:rPr>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803D3E">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3D3E">
              <w:rPr>
                <w:rFonts w:ascii="Verdana" w:hAnsi="Verdana"/>
                <w:noProof/>
                <w:sz w:val="20"/>
                <w:szCs w:val="20"/>
              </w:rPr>
              <w:t xml:space="preserve">Special works of community </w:t>
            </w:r>
            <w:r w:rsidR="00955FE6">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955FE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sidR="00803D3E">
              <w:rPr>
                <w:rFonts w:ascii="Verdana" w:hAnsi="Verdana"/>
                <w:sz w:val="20"/>
                <w:szCs w:val="20"/>
                <w:lang w:val="en-GB" w:eastAsia="ko-KR"/>
              </w:rPr>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955F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955FE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sidR="00803D3E">
              <w:rPr>
                <w:rFonts w:ascii="Verdana" w:hAnsi="Verdana"/>
                <w:sz w:val="20"/>
                <w:szCs w:val="20"/>
                <w:lang w:val="en-GB" w:eastAsia="ko-KR"/>
              </w:rPr>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803D3E">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3D3E">
              <w:rPr>
                <w:rFonts w:ascii="Verdana" w:hAnsi="Verdana"/>
                <w:noProof/>
                <w:sz w:val="20"/>
                <w:szCs w:val="20"/>
              </w:rPr>
              <w:t xml:space="preserve">The Government has a big register electronic databases </w:t>
            </w:r>
            <w:r w:rsidR="00955FE6">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955F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955FE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sidR="00803D3E">
              <w:rPr>
                <w:rFonts w:ascii="Verdana" w:hAnsi="Verdana"/>
                <w:sz w:val="20"/>
                <w:szCs w:val="20"/>
                <w:lang w:val="en-GB" w:eastAsia="ko-KR"/>
              </w:rPr>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803D3E">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3D3E">
              <w:rPr>
                <w:rFonts w:ascii="Verdana" w:hAnsi="Verdana"/>
                <w:noProof/>
                <w:sz w:val="20"/>
                <w:szCs w:val="20"/>
              </w:rPr>
              <w:t>There are chains for the hands.</w:t>
            </w:r>
            <w:r w:rsidR="00955FE6">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955FE6"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Encabezado"/>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Encabezado"/>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955FE6" w:rsidP="0049235A">
      <w:pPr>
        <w:pStyle w:val="Encabezado"/>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9" w:name="Check5"/>
      <w:r w:rsidR="00296CFC">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end"/>
      </w:r>
      <w:bookmarkEnd w:id="9"/>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p>
    <w:p w:rsidR="00EE46FC" w:rsidRPr="007A37A9" w:rsidRDefault="00EE46FC" w:rsidP="0023510A">
      <w:pPr>
        <w:pStyle w:val="Encabezado"/>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00196B11" w:rsidRPr="007A37A9">
              <w:t xml:space="preserve">Enforcement </w:t>
            </w:r>
            <w:r w:rsidRPr="007A37A9">
              <w:t xml:space="preserve">AUTHORITIES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t>C</w:t>
            </w:r>
            <w:r w:rsidRPr="007A37A9">
              <w:rPr>
                <w:lang w:eastAsia="ko-KR"/>
              </w:rPr>
              <w:t>OMPETENT</w:t>
            </w:r>
            <w:r w:rsidRPr="007A37A9">
              <w:t xml:space="preserve"> AUTHORITY </w:t>
            </w:r>
            <w:r w:rsidRPr="007A37A9">
              <w:rPr>
                <w:lang w:eastAsia="ko-KR"/>
              </w:rPr>
              <w:t xml:space="preserve">that is responsible for the 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955FE6"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955F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955F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955F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Pr="007A37A9">
              <w:t>(IF APPLICABLE)</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955F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955F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955F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955F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Encabezado"/>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ab/>
            </w:r>
            <w:r w:rsidRPr="001A5B24">
              <w:rPr>
                <w:highlight w:val="darkGray"/>
                <w:lang w:eastAsia="ko-KR"/>
              </w:rPr>
              <w:t>competent</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Refdecomentario"/>
                <w:sz w:val="20"/>
                <w:szCs w:val="20"/>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Encabezado"/>
        <w:rPr>
          <w:rFonts w:ascii="Verdana" w:hAnsi="Verdana"/>
          <w:b/>
          <w:sz w:val="20"/>
          <w:szCs w:val="20"/>
          <w:lang w:val="en-GB" w:eastAsia="ko-KR"/>
        </w:rPr>
      </w:pPr>
    </w:p>
    <w:p w:rsidR="00FD681D" w:rsidRPr="007A37A9" w:rsidRDefault="00955FE6" w:rsidP="0007671B">
      <w:pPr>
        <w:pStyle w:val="Encabezado"/>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011CF4">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955FE6"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955FE6"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955FE6"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955FE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955FE6"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955FE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803D3E">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3D3E">
              <w:rPr>
                <w:rFonts w:ascii="Verdana" w:hAnsi="Verdana"/>
                <w:noProof/>
                <w:sz w:val="20"/>
                <w:szCs w:val="20"/>
              </w:rPr>
              <w:t xml:space="preserve">Mexico has national, regional and local registers. </w:t>
            </w:r>
            <w:r w:rsidR="00955FE6">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955FE6"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955FE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955FE6"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Style w:val="Refdecomentario"/>
          <w:rFonts w:ascii="Verdana" w:hAnsi="Verdana" w:cs="Arial"/>
          <w:b/>
          <w:sz w:val="20"/>
          <w:szCs w:val="20"/>
          <w:lang w:val="en-GB" w:eastAsia="ko-KR"/>
        </w:rPr>
        <w:t>R</w:t>
      </w:r>
      <w:r w:rsidRPr="007A37A9">
        <w:rPr>
          <w:rFonts w:ascii="Verdana" w:hAnsi="Verdana" w:cs="Arial"/>
          <w:b/>
          <w:bCs/>
          <w:sz w:val="20"/>
          <w:szCs w:val="20"/>
          <w:lang w:val="en-GB"/>
        </w:rPr>
        <w:t>ECOGNITION AND</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Refdecomentario"/>
                <w:sz w:val="20"/>
                <w:szCs w:val="20"/>
              </w:rPr>
            </w:pPr>
            <w:r>
              <w:rPr>
                <w:rStyle w:val="Refdecomentario"/>
                <w:sz w:val="20"/>
                <w:szCs w:val="20"/>
                <w:lang w:eastAsia="ko-KR"/>
              </w:rPr>
              <w:t>1</w:t>
            </w:r>
            <w:r w:rsidRPr="007A37A9">
              <w:rPr>
                <w:rStyle w:val="Refdecomentario"/>
                <w:sz w:val="20"/>
                <w:szCs w:val="20"/>
                <w:lang w:eastAsia="ko-KR"/>
              </w:rPr>
              <w:t>.</w:t>
            </w:r>
            <w:r>
              <w:rPr>
                <w:rStyle w:val="Refdecomentario"/>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955FE6"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803D3E">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3D3E">
              <w:rPr>
                <w:rFonts w:ascii="Verdana" w:hAnsi="Verdana"/>
                <w:noProof/>
                <w:sz w:val="20"/>
                <w:szCs w:val="20"/>
              </w:rPr>
              <w:t>There are conflicts of law and some conventions about international coperation.</w:t>
            </w:r>
            <w:r w:rsidR="00955FE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sidR="00630855">
              <w:rPr>
                <w:rFonts w:ascii="Verdana" w:hAnsi="Verdana"/>
                <w:sz w:val="20"/>
                <w:szCs w:val="20"/>
              </w:rPr>
              <w:br/>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955FE6"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E858D9" w:rsidRPr="007A37A9">
              <w:rPr>
                <w:bCs/>
                <w:lang w:eastAsia="ko-KR"/>
              </w:rPr>
              <w:t>DECLARATION OF ENFORCEABILITY OR REGISTRATION FOR</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955FE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C7B51">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955FE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955FE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B85B4D">
              <w:rPr>
                <w:rFonts w:ascii="Verdana" w:hAnsi="Verdana"/>
                <w:noProof/>
                <w:sz w:val="20"/>
                <w:szCs w:val="20"/>
              </w:rPr>
              <w:t xml:space="preserve"> </w:t>
            </w:r>
            <w:r w:rsidR="00803D3E">
              <w:rPr>
                <w:rFonts w:ascii="Verdana" w:hAnsi="Verdana"/>
                <w:noProof/>
                <w:sz w:val="20"/>
                <w:szCs w:val="20"/>
              </w:rPr>
              <w:t xml:space="preserve">Mexico has punishment judicial authority. </w:t>
            </w:r>
            <w:r w:rsidR="00955FE6">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lang w:eastAsia="ko-KR"/>
              </w:rPr>
              <w:t>enforcement of foreign protection orders</w:t>
            </w:r>
            <w:r w:rsidR="003C1299" w:rsidRPr="007A37A9">
              <w:t>(IF APPLICABLE)</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955FE6"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803D3E">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955FE6"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955FE6"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803D3E">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B85B4D">
              <w:rPr>
                <w:rFonts w:ascii="Verdana" w:hAnsi="Verdana"/>
                <w:noProof/>
                <w:sz w:val="20"/>
                <w:szCs w:val="20"/>
              </w:rPr>
              <w:t xml:space="preserve"> </w:t>
            </w:r>
            <w:r w:rsidR="00803D3E">
              <w:rPr>
                <w:rFonts w:ascii="Verdana" w:hAnsi="Verdana"/>
                <w:noProof/>
                <w:sz w:val="20"/>
                <w:szCs w:val="20"/>
              </w:rPr>
              <w:t>In Mexico only judicial authority has competent for recognition, declaration of enforceability or registration for</w:t>
            </w:r>
            <w:r w:rsidR="00D40CDF">
              <w:rPr>
                <w:rFonts w:ascii="Verdana" w:hAnsi="Verdana"/>
                <w:noProof/>
                <w:sz w:val="20"/>
                <w:szCs w:val="20"/>
              </w:rPr>
              <w:t xml:space="preserve"> </w:t>
            </w:r>
            <w:r w:rsidR="00803D3E">
              <w:rPr>
                <w:rFonts w:ascii="Verdana" w:hAnsi="Verdana"/>
                <w:noProof/>
                <w:sz w:val="20"/>
                <w:szCs w:val="20"/>
              </w:rPr>
              <w:t>enforcement or foreign protection orders.</w:t>
            </w:r>
            <w:r w:rsidR="00955FE6">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Pr="001A5B24">
              <w:rPr>
                <w:rFonts w:ascii="Verdana" w:hAnsi="Verdana" w:cs="Arial"/>
                <w:sz w:val="20"/>
                <w:szCs w:val="20"/>
                <w:highlight w:val="darkGray"/>
                <w:lang w:val="en-GB" w:eastAsia="ko-KR"/>
              </w:rPr>
              <w:t>/jurisdiction</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Refdecomentario"/>
                <w:sz w:val="20"/>
                <w:szCs w:val="20"/>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 xml:space="preserve">and/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955FE6"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955F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955FE6"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ko-KR"/>
              </w:rPr>
              <w:br/>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955FE6"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955FE6"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955F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955FE6"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955F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955F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955F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955F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955FE6"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800BE6">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0BE6">
              <w:rPr>
                <w:rFonts w:ascii="Verdana" w:hAnsi="Verdana"/>
                <w:noProof/>
                <w:sz w:val="20"/>
                <w:szCs w:val="20"/>
              </w:rPr>
              <w:t>60 days.</w:t>
            </w:r>
            <w:r w:rsidR="00955FE6">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955FE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D40CDF">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D40CDF" w:rsidRPr="00D40CDF">
              <w:rPr>
                <w:rFonts w:ascii="Verdana" w:hAnsi="Verdana"/>
                <w:noProof/>
                <w:sz w:val="20"/>
                <w:szCs w:val="20"/>
              </w:rPr>
              <w:t>The requirements State has to ask for it and do all the mexican law order</w:t>
            </w:r>
            <w:r w:rsidR="00955FE6">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955FE6"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955FE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D40CDF">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800BE6">
              <w:rPr>
                <w:rFonts w:ascii="Verdana" w:hAnsi="Verdana"/>
                <w:noProof/>
                <w:sz w:val="20"/>
                <w:szCs w:val="20"/>
              </w:rPr>
              <w:t>The judge has the obligation to do what the law of the convention sa</w:t>
            </w:r>
            <w:r w:rsidR="00D40CDF">
              <w:rPr>
                <w:rFonts w:ascii="Verdana" w:hAnsi="Verdana"/>
                <w:noProof/>
                <w:sz w:val="20"/>
                <w:szCs w:val="20"/>
              </w:rPr>
              <w:t>ys</w:t>
            </w:r>
            <w:r w:rsidR="00800BE6">
              <w:rPr>
                <w:rFonts w:ascii="Verdana" w:hAnsi="Verdana"/>
                <w:noProof/>
                <w:sz w:val="20"/>
                <w:szCs w:val="20"/>
              </w:rPr>
              <w:t xml:space="preserve">. </w:t>
            </w:r>
            <w:r w:rsidR="00955FE6">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955FE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955FE6"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955FE6"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955FE6">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630855">
              <w:rPr>
                <w:rFonts w:ascii="Verdana" w:hAnsi="Verdana"/>
                <w:noProof/>
                <w:sz w:val="20"/>
                <w:szCs w:val="20"/>
              </w:rPr>
              <w:t xml:space="preserve"> - enter text here - </w:t>
            </w:r>
            <w:r w:rsidR="00955FE6">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955FE6"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955FE6"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010634" w:rsidRDefault="00010634" w:rsidP="00010634">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955FE6"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955FE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955FE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955FE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800BE6">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0BE6">
              <w:rPr>
                <w:rFonts w:ascii="Verdana" w:hAnsi="Verdana"/>
                <w:noProof/>
                <w:sz w:val="20"/>
                <w:szCs w:val="20"/>
              </w:rPr>
              <w:t>for a police man.</w:t>
            </w:r>
            <w:r w:rsidR="00955FE6">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955FE6"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955FE6"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955FE6"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955FE6"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955FE6"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955FE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800BE6">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800BE6">
              <w:rPr>
                <w:rFonts w:ascii="Verdana" w:hAnsi="Verdana"/>
                <w:sz w:val="20"/>
                <w:szCs w:val="20"/>
              </w:rPr>
              <w:t xml:space="preserve">Any people can be protected. </w:t>
            </w:r>
            <w:r w:rsidR="00955FE6">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955FE6"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955FE6"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955FE6"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955F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955FE6"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800BE6">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800BE6">
              <w:rPr>
                <w:rFonts w:ascii="Verdana" w:hAnsi="Verdana"/>
                <w:noProof/>
                <w:sz w:val="20"/>
                <w:szCs w:val="20"/>
              </w:rPr>
              <w:t xml:space="preserve">Mexico has celebrated some conventions about enforcement orders. </w:t>
            </w:r>
            <w:r w:rsidR="00955F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955FE6"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955FE6"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955FE6"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Refdecomentario"/>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955FE6"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w:t>
            </w:r>
            <w:r w:rsidR="00A21919" w:rsidRPr="007A37A9">
              <w:rPr>
                <w:rFonts w:ascii="Verdana" w:hAnsi="Verdana"/>
                <w:bCs/>
                <w:sz w:val="20"/>
                <w:szCs w:val="20"/>
                <w:lang w:val="en-GB"/>
              </w:rPr>
              <w:lastRenderedPageBreak/>
              <w:t>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AF3EBA" w:rsidRDefault="00AF3EBA" w:rsidP="000848F4">
      <w:pPr>
        <w:pStyle w:val="Encabezado"/>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Refdecomentario"/>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955FE6"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955FE6"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955F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800BE6">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800BE6">
              <w:rPr>
                <w:rFonts w:ascii="Verdana" w:hAnsi="Verdana"/>
                <w:sz w:val="20"/>
                <w:szCs w:val="20"/>
              </w:rPr>
              <w:t>Mexico has an Interamerican Convetion named "International Restitution of Childs" of 15 July 1987.</w:t>
            </w:r>
            <w:r w:rsidR="00955FE6">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955FE6"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955FE6"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2322C4">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955FE6"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Refdecomentario"/>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955FE6" w:rsidP="00800BE6">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w:t>
            </w:r>
            <w:r w:rsidR="00800BE6">
              <w:rPr>
                <w:rFonts w:ascii="Verdana" w:hAnsi="Verdana"/>
                <w:noProof/>
                <w:sz w:val="20"/>
                <w:szCs w:val="20"/>
              </w:rPr>
              <w:t>Mexico has international treaties about mutual judicial assistence</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955FE6" w:rsidP="00D40CDF">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w:t>
            </w:r>
            <w:r w:rsidR="00800BE6">
              <w:rPr>
                <w:rFonts w:ascii="Verdana" w:hAnsi="Verdana"/>
                <w:noProof/>
                <w:sz w:val="20"/>
                <w:szCs w:val="20"/>
              </w:rPr>
              <w:t xml:space="preserve">Yes, Mexico has the </w:t>
            </w:r>
            <w:r w:rsidR="00D40CDF">
              <w:rPr>
                <w:rFonts w:ascii="Verdana" w:hAnsi="Verdana"/>
                <w:noProof/>
                <w:sz w:val="20"/>
                <w:szCs w:val="20"/>
              </w:rPr>
              <w:t>M</w:t>
            </w:r>
            <w:r w:rsidR="00800BE6">
              <w:rPr>
                <w:rFonts w:ascii="Verdana" w:hAnsi="Verdana"/>
                <w:noProof/>
                <w:sz w:val="20"/>
                <w:szCs w:val="20"/>
              </w:rPr>
              <w:t>igration  Law of 25 May 2011 and its Reglament of 2013.</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955FE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955FE6"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br/>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955F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800BE6">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955F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955F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F7691D">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955FE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955FE6"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955F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sidR="00F7691D">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955FE6"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955FE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C038D1">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C038D1">
              <w:rPr>
                <w:rFonts w:ascii="Verdana" w:hAnsi="Verdana"/>
                <w:noProof/>
                <w:sz w:val="20"/>
                <w:szCs w:val="20"/>
              </w:rPr>
              <w:t>Ministry of Foreign Affairs</w:t>
            </w:r>
            <w:r w:rsidR="00955FE6">
              <w:rPr>
                <w:rFonts w:ascii="Verdana" w:hAnsi="Verdana"/>
                <w:sz w:val="20"/>
                <w:szCs w:val="20"/>
              </w:rPr>
              <w:fldChar w:fldCharType="end"/>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9B42EC" w:rsidRPr="008779F7">
              <w:rPr>
                <w:highlight w:val="darkGray"/>
              </w:rPr>
              <w:t>(IF APPLICABLE)</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lastRenderedPageBreak/>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Refdecomentario"/>
                <w:sz w:val="20"/>
                <w:szCs w:val="20"/>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 xml:space="preserve">ations/bodies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 xml:space="preserve">ations/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Encabezado"/>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734201">
              <w:rPr>
                <w:rFonts w:ascii="Verdana" w:hAnsi="Verdana" w:cs="Arial"/>
                <w:sz w:val="20"/>
                <w:szCs w:val="20"/>
                <w:highlight w:val="darkGray"/>
                <w:lang w:val="en-GB" w:eastAsia="ko-KR"/>
              </w:rPr>
              <w:t>/ jurisdiction</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lastRenderedPageBreak/>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955F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955F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955F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955F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955F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955FE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955F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955F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955FE6"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955FE6"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955FE6"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955FE6"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955F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955FE6"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955FE6"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955FE6"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955F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038D1" w:rsidRDefault="00D96F28" w:rsidP="00C038D1">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C038D1">
              <w:rPr>
                <w:rFonts w:ascii="Verdana" w:hAnsi="Verdana"/>
                <w:noProof/>
                <w:sz w:val="20"/>
                <w:szCs w:val="20"/>
              </w:rPr>
              <w:t xml:space="preserve">72 hours. The duration  depends of if it is Civil, Penal or Administrative. </w:t>
            </w:r>
          </w:p>
          <w:p w:rsidR="00D96F28" w:rsidRDefault="00C038D1" w:rsidP="00C038D1">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Administrative is for 36 hours, Punishment order is for 72 hours.</w:t>
            </w:r>
            <w:r w:rsidR="00955F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955FE6"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955F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955F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C038D1">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C038D1">
              <w:rPr>
                <w:rFonts w:ascii="Verdana" w:hAnsi="Verdana"/>
                <w:sz w:val="20"/>
                <w:szCs w:val="20"/>
              </w:rPr>
              <w:t>1 year</w:t>
            </w:r>
            <w:r w:rsidR="00955FE6">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955FE6"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C038D1">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C038D1">
              <w:rPr>
                <w:rFonts w:ascii="Verdana" w:hAnsi="Verdana"/>
                <w:noProof/>
                <w:sz w:val="20"/>
                <w:szCs w:val="20"/>
              </w:rPr>
              <w:t xml:space="preserve">The protection orders depend only the nature of the conflict. </w:t>
            </w:r>
            <w:r w:rsidR="00955FE6">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955FE6"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C038D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C038D1">
              <w:rPr>
                <w:rFonts w:ascii="Verdana" w:hAnsi="Verdana"/>
                <w:sz w:val="20"/>
                <w:szCs w:val="20"/>
              </w:rPr>
              <w:t xml:space="preserve">Mexican Migration Law protects the people who visit this country. </w:t>
            </w:r>
            <w:r w:rsidR="00955FE6">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955FE6"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955F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955FE6"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955FE6"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955FE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955FE6"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C038D1">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lastRenderedPageBreak/>
              <w:t>Other</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955FE6" w:rsidP="00F05813">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E5195">
              <w:rPr>
                <w:rFonts w:ascii="Verdana" w:hAnsi="Verdana"/>
                <w:noProof/>
                <w:sz w:val="20"/>
                <w:szCs w:val="20"/>
              </w:rPr>
              <w:t xml:space="preserve"> </w:t>
            </w:r>
            <w:r w:rsidR="00F05813">
              <w:rPr>
                <w:rFonts w:ascii="Verdana" w:hAnsi="Verdana"/>
                <w:noProof/>
                <w:sz w:val="20"/>
                <w:szCs w:val="20"/>
              </w:rPr>
              <w:t xml:space="preserve">The documents required are: identification, electoral register or passport.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955FE6"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F05813">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E176DF">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F05813">
              <w:rPr>
                <w:rFonts w:ascii="Verdana" w:hAnsi="Verdana"/>
                <w:noProof/>
                <w:sz w:val="20"/>
                <w:szCs w:val="20"/>
              </w:rPr>
              <w:t>Yes, Mexico accept the documents will be transmitted by electronic means, but after</w:t>
            </w:r>
            <w:r w:rsidR="00E176DF">
              <w:rPr>
                <w:rFonts w:ascii="Verdana" w:hAnsi="Verdana"/>
                <w:noProof/>
                <w:sz w:val="20"/>
                <w:szCs w:val="20"/>
              </w:rPr>
              <w:t>w</w:t>
            </w:r>
            <w:r w:rsidR="00F05813">
              <w:rPr>
                <w:rFonts w:ascii="Verdana" w:hAnsi="Verdana"/>
                <w:noProof/>
                <w:sz w:val="20"/>
                <w:szCs w:val="20"/>
              </w:rPr>
              <w:t>ar</w:t>
            </w:r>
            <w:r w:rsidR="00E176DF">
              <w:rPr>
                <w:rFonts w:ascii="Verdana" w:hAnsi="Verdana"/>
                <w:noProof/>
                <w:sz w:val="20"/>
                <w:szCs w:val="20"/>
              </w:rPr>
              <w:t>d</w:t>
            </w:r>
            <w:r w:rsidR="00F05813">
              <w:rPr>
                <w:rFonts w:ascii="Verdana" w:hAnsi="Verdana"/>
                <w:noProof/>
                <w:sz w:val="20"/>
                <w:szCs w:val="20"/>
              </w:rPr>
              <w:t>s</w:t>
            </w:r>
            <w:r w:rsidR="00E176DF">
              <w:rPr>
                <w:rFonts w:ascii="Verdana" w:hAnsi="Verdana"/>
                <w:noProof/>
                <w:sz w:val="20"/>
                <w:szCs w:val="20"/>
              </w:rPr>
              <w:t xml:space="preserve"> most be send phisically </w:t>
            </w:r>
            <w:r w:rsidR="00F05813">
              <w:rPr>
                <w:rFonts w:ascii="Verdana" w:hAnsi="Verdana"/>
                <w:noProof/>
                <w:sz w:val="20"/>
                <w:szCs w:val="20"/>
              </w:rPr>
              <w:t xml:space="preserve"> </w:t>
            </w:r>
            <w:r w:rsidR="00955FE6">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955F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955FE6"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955FE6"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955FE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955FE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955FE6"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955FE6"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br/>
            </w:r>
            <w:r>
              <w:rPr>
                <w:rFonts w:ascii="Verdana" w:hAnsi="Verdana"/>
                <w:sz w:val="20"/>
                <w:szCs w:val="20"/>
              </w:rPr>
              <w:tab/>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955FE6"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955FE6"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sidRPr="007E5195">
              <w:rPr>
                <w:rFonts w:ascii="Verdana" w:hAnsi="Verdana" w:cs="Arial"/>
                <w:sz w:val="20"/>
                <w:szCs w:val="20"/>
                <w:lang w:val="en-GB" w:eastAsia="ko-KR"/>
              </w:rPr>
              <w:instrText xml:space="preserve"> FORMCHECKBOX </w:instrText>
            </w:r>
            <w:r w:rsidR="00E176DF"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955FE6"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sidRPr="007E5195">
              <w:rPr>
                <w:rFonts w:ascii="Verdana" w:hAnsi="Verdana" w:cs="Arial"/>
                <w:sz w:val="20"/>
                <w:szCs w:val="20"/>
                <w:lang w:val="en-GB" w:eastAsia="ko-KR"/>
              </w:rPr>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955FE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955F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955FE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955F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955F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It depends upon the particular case and is at the discretion of the judge / authority hearing the case</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955F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p>
        </w:tc>
        <w:tc>
          <w:tcPr>
            <w:tcW w:w="5103" w:type="dxa"/>
            <w:tcBorders>
              <w:left w:val="single" w:sz="4" w:space="0" w:color="auto"/>
            </w:tcBorders>
            <w:shd w:val="clear" w:color="auto" w:fill="auto"/>
          </w:tcPr>
          <w:p w:rsidR="005C7376" w:rsidRPr="005C7376" w:rsidRDefault="00955FE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E176DF">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955F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955FE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955FE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Refdecomentario"/>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Refdenotaalpie"/>
                <w:lang w:eastAsia="ko-KR"/>
              </w:rPr>
              <w:footnoteReference w:id="7"/>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p>
        </w:tc>
        <w:tc>
          <w:tcPr>
            <w:tcW w:w="5103" w:type="dxa"/>
            <w:shd w:val="clear" w:color="auto" w:fill="auto"/>
          </w:tcPr>
          <w:p w:rsidR="008A643D" w:rsidRPr="00FC0032" w:rsidRDefault="00955FE6" w:rsidP="00A85F3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w:t>
            </w:r>
            <w:r w:rsidR="00A85F31">
              <w:rPr>
                <w:rFonts w:ascii="Verdana" w:hAnsi="Verdana"/>
                <w:noProof/>
                <w:sz w:val="20"/>
                <w:szCs w:val="20"/>
              </w:rPr>
              <w:t>Annex 2</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955FE6" w:rsidP="00A85F3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85F31">
              <w:rPr>
                <w:rFonts w:ascii="Verdana" w:hAnsi="Verdana"/>
                <w:sz w:val="20"/>
                <w:szCs w:val="20"/>
              </w:rPr>
              <w:t>www.sre.gob.mx</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955FE6" w:rsidP="00A85F31">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85F31">
              <w:rPr>
                <w:rFonts w:ascii="Verdana" w:hAnsi="Verdana"/>
                <w:noProof/>
                <w:sz w:val="20"/>
                <w:szCs w:val="20"/>
              </w:rPr>
              <w:t>Mexico has the Migration Law, 25 May 2011.</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955FE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955FE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955FE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955FE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 xml:space="preserve">for a protection orderor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55FE6"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55FE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55FE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55FE6"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92513E">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55FE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55FE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A85F31">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A85F31">
              <w:rPr>
                <w:rFonts w:ascii="Verdana" w:hAnsi="Verdana"/>
                <w:noProof/>
                <w:sz w:val="20"/>
                <w:szCs w:val="20"/>
              </w:rPr>
              <w:t>All legal assistance is free</w:t>
            </w:r>
            <w:r w:rsidR="00955FE6">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55FE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55FE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55FE6"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55FE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955FE6"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955FE6"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955FE6"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955FE6"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955FE6"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955FE6"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D40CDF">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D40CDF" w:rsidRPr="00D40CDF">
              <w:rPr>
                <w:rFonts w:ascii="Verdana" w:hAnsi="Verdana"/>
                <w:noProof/>
                <w:sz w:val="20"/>
                <w:szCs w:val="20"/>
              </w:rPr>
              <w:t>In Mexico any person without distinction has the right to get free assistance</w:t>
            </w:r>
            <w:r w:rsidR="00955FE6">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955F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955F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955F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955F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955FE6"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955F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955FE6"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955FE6"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955FE6"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D40CDF">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D40CDF" w:rsidRPr="00D40CDF">
              <w:rPr>
                <w:rFonts w:ascii="Verdana" w:hAnsi="Verdana"/>
                <w:noProof/>
                <w:sz w:val="20"/>
                <w:szCs w:val="20"/>
              </w:rPr>
              <w:t>But the document must be sent afterwards</w:t>
            </w:r>
            <w:r w:rsidR="00955FE6">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955FE6"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 xml:space="preserve">2.  challenges/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 xml:space="preserve">protection orderor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955FE6"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A85F31">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A85F31">
              <w:rPr>
                <w:rFonts w:ascii="Verdana" w:hAnsi="Verdana"/>
                <w:noProof/>
                <w:sz w:val="20"/>
                <w:szCs w:val="20"/>
              </w:rPr>
              <w:t>There is one apellation and the last is Amparo Judge</w:t>
            </w:r>
            <w:r w:rsidR="00955FE6">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955FE6"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955FE6"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955FE6"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sidR="00A85F31">
              <w:rPr>
                <w:rFonts w:ascii="Verdana" w:hAnsi="Verdana" w:cs="Arial"/>
                <w:sz w:val="20"/>
                <w:szCs w:val="20"/>
                <w:lang w:val="en-GB" w:eastAsia="ko-KR"/>
              </w:rPr>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3C0D92">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w:t>
            </w:r>
            <w:r w:rsidR="00A85F31">
              <w:rPr>
                <w:rFonts w:ascii="Verdana" w:hAnsi="Verdana"/>
                <w:noProof/>
                <w:sz w:val="20"/>
                <w:szCs w:val="20"/>
              </w:rPr>
              <w:t xml:space="preserve">The apellation is inserted </w:t>
            </w:r>
            <w:r w:rsidR="003C0D92">
              <w:rPr>
                <w:rFonts w:ascii="Verdana" w:hAnsi="Verdana"/>
                <w:noProof/>
                <w:sz w:val="20"/>
                <w:szCs w:val="20"/>
              </w:rPr>
              <w:t xml:space="preserve">by </w:t>
            </w:r>
            <w:r w:rsidR="00A85F31">
              <w:rPr>
                <w:rFonts w:ascii="Verdana" w:hAnsi="Verdana"/>
                <w:noProof/>
                <w:sz w:val="20"/>
                <w:szCs w:val="20"/>
              </w:rPr>
              <w:t xml:space="preserve">the person who lose or </w:t>
            </w:r>
            <w:r w:rsidR="003C0D92">
              <w:rPr>
                <w:rFonts w:ascii="Verdana" w:hAnsi="Verdana"/>
                <w:noProof/>
                <w:sz w:val="20"/>
                <w:szCs w:val="20"/>
              </w:rPr>
              <w:t>by the Fiscal.</w:t>
            </w:r>
            <w:r w:rsidR="00955FE6">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955FE6" w:rsidP="003C0D92">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2412B">
              <w:rPr>
                <w:rFonts w:ascii="Verdana" w:hAnsi="Verdana"/>
                <w:noProof/>
                <w:sz w:val="20"/>
                <w:szCs w:val="20"/>
              </w:rPr>
              <w:t xml:space="preserve"> </w:t>
            </w:r>
            <w:r w:rsidR="003C0D92">
              <w:rPr>
                <w:rFonts w:ascii="Verdana" w:hAnsi="Verdana"/>
                <w:noProof/>
                <w:sz w:val="20"/>
                <w:szCs w:val="20"/>
              </w:rPr>
              <w:t>In the upper Tribunal</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955FE6"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3C0D92">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955FE6"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955FE6"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955FE6"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955FE6"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955FE6"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3C0D92">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955FE6"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955FE6"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3C0D92">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3C0D92">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sidR="003C0D92">
              <w:rPr>
                <w:rFonts w:ascii="Verdana" w:hAnsi="Verdana"/>
                <w:sz w:val="20"/>
                <w:szCs w:val="20"/>
              </w:rPr>
              <w:t>From the date ther parties were notified of the order</w:t>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955FE6"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955FE6"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sidR="003C0D92">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955FE6"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955FE6"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Pr="00FC0032">
              <w:rPr>
                <w:lang w:eastAsia="ko-KR"/>
              </w:rPr>
              <w:t xml:space="preserve">in your state/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D938BD"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D938BD" w:rsidRDefault="00265725" w:rsidP="00D938BD">
            <w:pPr>
              <w:tabs>
                <w:tab w:val="left" w:pos="567"/>
              </w:tabs>
              <w:spacing w:after="120"/>
              <w:rPr>
                <w:rFonts w:ascii="Verdana" w:hAnsi="Verdana" w:cs="Arial"/>
                <w:sz w:val="20"/>
                <w:szCs w:val="20"/>
                <w:lang w:val="es-MX"/>
              </w:rPr>
            </w:pPr>
            <w:r w:rsidRPr="00D938BD">
              <w:rPr>
                <w:rFonts w:ascii="Verdana" w:hAnsi="Verdana" w:cs="Arial"/>
                <w:sz w:val="20"/>
                <w:szCs w:val="20"/>
                <w:lang w:val="es-MX"/>
              </w:rPr>
              <w:t>a.</w:t>
            </w:r>
            <w:r w:rsidRPr="00D938BD">
              <w:rPr>
                <w:rFonts w:ascii="Verdana" w:hAnsi="Verdana" w:cs="Arial"/>
                <w:sz w:val="20"/>
                <w:szCs w:val="20"/>
                <w:lang w:val="es-MX"/>
              </w:rPr>
              <w:tab/>
            </w:r>
            <w:r w:rsidRPr="00D938BD">
              <w:rPr>
                <w:rFonts w:ascii="Verdana" w:hAnsi="Verdana" w:cs="Arial"/>
                <w:sz w:val="20"/>
                <w:szCs w:val="20"/>
                <w:lang w:val="es-MX" w:eastAsia="ko-KR"/>
              </w:rPr>
              <w:t>Organisation</w:t>
            </w:r>
            <w:r w:rsidRPr="00D938BD">
              <w:rPr>
                <w:rFonts w:ascii="Verdana" w:hAnsi="Verdana" w:cs="Arial"/>
                <w:sz w:val="20"/>
                <w:szCs w:val="20"/>
                <w:lang w:val="es-MX"/>
              </w:rPr>
              <w:t>:</w:t>
            </w:r>
            <w:r w:rsidR="00955FE6">
              <w:rPr>
                <w:rFonts w:ascii="Verdana" w:hAnsi="Verdana"/>
                <w:sz w:val="20"/>
                <w:szCs w:val="20"/>
              </w:rPr>
              <w:fldChar w:fldCharType="begin">
                <w:ffData>
                  <w:name w:val=""/>
                  <w:enabled/>
                  <w:calcOnExit w:val="0"/>
                  <w:textInput>
                    <w:default w:val=" - enter text here - "/>
                  </w:textInput>
                </w:ffData>
              </w:fldChar>
            </w:r>
            <w:r w:rsidRPr="00D938BD">
              <w:rPr>
                <w:rFonts w:ascii="Verdana" w:hAnsi="Verdana"/>
                <w:sz w:val="20"/>
                <w:szCs w:val="20"/>
                <w:lang w:val="es-MX"/>
              </w:rPr>
              <w:instrText xml:space="preserve"> FORMTEXT </w:instrText>
            </w:r>
            <w:r w:rsidR="00955FE6">
              <w:rPr>
                <w:rFonts w:ascii="Verdana" w:hAnsi="Verdana"/>
                <w:sz w:val="20"/>
                <w:szCs w:val="20"/>
              </w:rPr>
            </w:r>
            <w:r w:rsidR="00955FE6">
              <w:rPr>
                <w:rFonts w:ascii="Verdana" w:hAnsi="Verdana"/>
                <w:sz w:val="20"/>
                <w:szCs w:val="20"/>
              </w:rPr>
              <w:fldChar w:fldCharType="separate"/>
            </w:r>
            <w:r w:rsidRPr="00D938BD">
              <w:rPr>
                <w:rFonts w:ascii="Verdana" w:hAnsi="Verdana"/>
                <w:noProof/>
                <w:sz w:val="20"/>
                <w:szCs w:val="20"/>
                <w:lang w:val="es-MX"/>
              </w:rPr>
              <w:t xml:space="preserve"> </w:t>
            </w:r>
            <w:r w:rsidR="00D938BD" w:rsidRPr="00D938BD">
              <w:rPr>
                <w:rFonts w:ascii="Verdana" w:hAnsi="Verdana"/>
                <w:noProof/>
                <w:sz w:val="20"/>
                <w:szCs w:val="20"/>
                <w:lang w:val="es-MX"/>
              </w:rPr>
              <w:t>Comisión Estatal y del Distrito Federal de Atenc</w:t>
            </w:r>
            <w:r w:rsidR="00D938BD">
              <w:rPr>
                <w:rFonts w:ascii="Verdana" w:hAnsi="Verdana"/>
                <w:noProof/>
                <w:sz w:val="20"/>
                <w:szCs w:val="20"/>
                <w:lang w:val="es-MX"/>
              </w:rPr>
              <w:t>ión Integral a Víctimas</w:t>
            </w:r>
            <w:r w:rsidR="00955FE6">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CD1465" w:rsidRDefault="00265725" w:rsidP="00CD1465">
            <w:pPr>
              <w:pStyle w:val="Prrafodelista"/>
              <w:numPr>
                <w:ilvl w:val="0"/>
                <w:numId w:val="55"/>
              </w:numPr>
              <w:tabs>
                <w:tab w:val="left" w:pos="567"/>
              </w:tabs>
              <w:spacing w:after="120"/>
              <w:rPr>
                <w:rFonts w:ascii="Verdana" w:hAnsi="Verdana" w:cs="Arial"/>
                <w:sz w:val="20"/>
                <w:szCs w:val="20"/>
                <w:lang w:val="en-GB"/>
              </w:rPr>
            </w:pPr>
            <w:r w:rsidRPr="00CD1465">
              <w:rPr>
                <w:rFonts w:ascii="Verdana" w:hAnsi="Verdana" w:cs="Arial"/>
                <w:sz w:val="20"/>
                <w:szCs w:val="20"/>
                <w:lang w:val="en-GB"/>
              </w:rPr>
              <w:t xml:space="preserve">Description of services offered: </w:t>
            </w:r>
            <w:r w:rsidR="00955FE6" w:rsidRPr="00CD1465">
              <w:rPr>
                <w:rFonts w:ascii="Verdana" w:hAnsi="Verdana"/>
                <w:sz w:val="20"/>
                <w:szCs w:val="20"/>
              </w:rPr>
              <w:fldChar w:fldCharType="begin">
                <w:ffData>
                  <w:name w:val=""/>
                  <w:enabled/>
                  <w:calcOnExit w:val="0"/>
                  <w:textInput>
                    <w:default w:val=" - enter text here - "/>
                  </w:textInput>
                </w:ffData>
              </w:fldChar>
            </w:r>
            <w:r w:rsidRPr="00CD1465">
              <w:rPr>
                <w:rFonts w:ascii="Verdana" w:hAnsi="Verdana"/>
                <w:sz w:val="20"/>
                <w:szCs w:val="20"/>
              </w:rPr>
              <w:instrText xml:space="preserve"> FORMTEXT </w:instrText>
            </w:r>
            <w:r w:rsidR="00955FE6" w:rsidRPr="00CD1465">
              <w:rPr>
                <w:rFonts w:ascii="Verdana" w:hAnsi="Verdana"/>
                <w:sz w:val="20"/>
                <w:szCs w:val="20"/>
              </w:rPr>
              <w:fldChar w:fldCharType="separate"/>
            </w:r>
            <w:r w:rsidR="00CD1465" w:rsidRPr="00CD1465">
              <w:rPr>
                <w:rFonts w:ascii="Verdana" w:hAnsi="Verdana"/>
                <w:sz w:val="20"/>
                <w:szCs w:val="20"/>
              </w:rPr>
              <w:t>Investigation of facts, Economic help, Integral Protection, Fisical and Psychological assistant, Consular assistance, Social Programs, Interpreter and Translator assistance, Manutention, Transportation, Judicial assistance. Ley General de Víctimas, 3 May 2013.</w:t>
            </w:r>
            <w:r w:rsidR="00955FE6" w:rsidRPr="00CD1465">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955F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955FE6">
              <w:rPr>
                <w:rFonts w:ascii="Verdana" w:hAnsi="Verdana"/>
                <w:sz w:val="20"/>
                <w:szCs w:val="20"/>
              </w:rPr>
            </w:r>
            <w:r w:rsidR="00955FE6">
              <w:rPr>
                <w:rFonts w:ascii="Verdana" w:hAnsi="Verdana"/>
                <w:sz w:val="20"/>
                <w:szCs w:val="20"/>
              </w:rPr>
              <w:fldChar w:fldCharType="separate"/>
            </w:r>
            <w:r>
              <w:rPr>
                <w:rFonts w:ascii="Verdana" w:hAnsi="Verdana"/>
                <w:noProof/>
                <w:sz w:val="20"/>
                <w:szCs w:val="20"/>
              </w:rPr>
              <w:t xml:space="preserve"> - enter text here - </w:t>
            </w:r>
            <w:r w:rsidR="00955F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6C" w:rsidRDefault="007A1B6C">
      <w:r>
        <w:separator/>
      </w:r>
    </w:p>
  </w:endnote>
  <w:endnote w:type="continuationSeparator" w:id="1">
    <w:p w:rsidR="007A1B6C" w:rsidRDefault="007A1B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085BC1">
    <w:pPr>
      <w:pStyle w:val="Piedepgina"/>
      <w:framePr w:wrap="around" w:vAnchor="text" w:hAnchor="margin" w:xAlign="right" w:y="1"/>
      <w:rPr>
        <w:rStyle w:val="Nmerodepgina"/>
      </w:rPr>
    </w:pPr>
  </w:p>
  <w:p w:rsidR="00F45716" w:rsidRDefault="00F45716"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F45716" w:rsidRDefault="00F45716"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F45716" w:rsidRDefault="00F45716"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F45716" w:rsidRDefault="00F45716"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F45716" w:rsidRPr="00C23989" w:rsidRDefault="00F45716" w:rsidP="00085BC1">
    <w:pPr>
      <w:pStyle w:val="Piedepgina"/>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085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5716" w:rsidRDefault="00F45716" w:rsidP="00085BC1">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085BC1">
    <w:pPr>
      <w:pStyle w:val="Piedepgina"/>
      <w:framePr w:wrap="around" w:vAnchor="text" w:hAnchor="margin" w:xAlign="right" w:y="1"/>
      <w:rPr>
        <w:rStyle w:val="Nmerodepgina"/>
      </w:rPr>
    </w:pPr>
  </w:p>
  <w:p w:rsidR="00F45716" w:rsidRDefault="00F45716" w:rsidP="00085BC1">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6E59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5716" w:rsidRDefault="00F45716" w:rsidP="00EF08B6">
    <w:pPr>
      <w:pStyle w:val="Piedep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Pr="008F773C" w:rsidRDefault="00F45716" w:rsidP="008F773C">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6C" w:rsidRDefault="007A1B6C">
      <w:r>
        <w:separator/>
      </w:r>
    </w:p>
  </w:footnote>
  <w:footnote w:type="continuationSeparator" w:id="1">
    <w:p w:rsidR="007A1B6C" w:rsidRDefault="007A1B6C">
      <w:r>
        <w:continuationSeparator/>
      </w:r>
    </w:p>
  </w:footnote>
  <w:footnote w:id="2">
    <w:p w:rsidR="00F45716" w:rsidRPr="00753741" w:rsidRDefault="00F45716" w:rsidP="00646A7D">
      <w:pPr>
        <w:pStyle w:val="Textonotapie"/>
        <w:jc w:val="both"/>
        <w:rPr>
          <w:rFonts w:ascii="Verdana" w:hAnsi="Verdana"/>
          <w:sz w:val="16"/>
          <w:szCs w:val="16"/>
        </w:rPr>
      </w:pPr>
      <w:r w:rsidRPr="00753741">
        <w:rPr>
          <w:rStyle w:val="Refdenotaalpi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3">
    <w:p w:rsidR="00F45716" w:rsidRPr="00753741" w:rsidRDefault="00F45716" w:rsidP="00646A7D">
      <w:pPr>
        <w:jc w:val="both"/>
        <w:rPr>
          <w:rFonts w:ascii="Verdana" w:hAnsi="Verdana"/>
          <w:sz w:val="16"/>
          <w:szCs w:val="16"/>
        </w:rPr>
      </w:pPr>
      <w:r w:rsidRPr="00753741">
        <w:rPr>
          <w:rStyle w:val="Refdenotaalpi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4">
    <w:p w:rsidR="00F45716" w:rsidRPr="00753741" w:rsidRDefault="00F45716" w:rsidP="00646A7D">
      <w:pPr>
        <w:jc w:val="both"/>
        <w:rPr>
          <w:rFonts w:ascii="Verdana" w:hAnsi="Verdana"/>
          <w:sz w:val="16"/>
          <w:szCs w:val="16"/>
          <w:lang/>
        </w:rPr>
      </w:pPr>
      <w:r w:rsidRPr="00753741">
        <w:rPr>
          <w:rStyle w:val="Refdenotaalpi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5">
    <w:p w:rsidR="00F45716" w:rsidRPr="00753741" w:rsidRDefault="00F45716">
      <w:pPr>
        <w:pStyle w:val="Textonotapie"/>
        <w:rPr>
          <w:rFonts w:ascii="Verdana" w:hAnsi="Verdana"/>
          <w:sz w:val="16"/>
          <w:szCs w:val="16"/>
          <w:lang w:val="en-GB" w:eastAsia="ko-KR"/>
        </w:rPr>
      </w:pPr>
      <w:r w:rsidRPr="00753741">
        <w:rPr>
          <w:rStyle w:val="Refdenotaalpie"/>
          <w:rFonts w:ascii="Verdana" w:hAnsi="Verdana"/>
          <w:sz w:val="16"/>
          <w:szCs w:val="16"/>
          <w:lang w:val="en-GB"/>
        </w:rPr>
        <w:footnoteRef/>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6">
    <w:p w:rsidR="00F45716" w:rsidRPr="00EA74C4" w:rsidRDefault="00F45716" w:rsidP="00EA74C4">
      <w:pPr>
        <w:pStyle w:val="Textonotapie"/>
        <w:jc w:val="both"/>
        <w:rPr>
          <w:rFonts w:ascii="Verdana" w:hAnsi="Verdana"/>
          <w:sz w:val="16"/>
          <w:szCs w:val="16"/>
        </w:rPr>
      </w:pPr>
      <w:r w:rsidRPr="00EA74C4">
        <w:rPr>
          <w:rStyle w:val="Refdenotaalpie"/>
          <w:rFonts w:ascii="Verdana" w:hAnsi="Verdana"/>
          <w:sz w:val="16"/>
          <w:szCs w:val="16"/>
        </w:rPr>
        <w:footnoteRef/>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p>
  </w:footnote>
  <w:footnote w:id="7">
    <w:p w:rsidR="00F45716" w:rsidRPr="00EA74C4" w:rsidRDefault="00F45716" w:rsidP="00EA74C4">
      <w:pPr>
        <w:pStyle w:val="Textonotapie"/>
        <w:jc w:val="both"/>
        <w:rPr>
          <w:rFonts w:ascii="Verdana" w:hAnsi="Verdana"/>
          <w:sz w:val="16"/>
          <w:szCs w:val="16"/>
        </w:rPr>
      </w:pPr>
      <w:r w:rsidRPr="00EA74C4">
        <w:rPr>
          <w:rStyle w:val="Refdenotaalpie"/>
          <w:rFonts w:ascii="Verdana" w:hAnsi="Verdana"/>
          <w:sz w:val="16"/>
          <w:szCs w:val="16"/>
        </w:rPr>
        <w:footnoteRef/>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EuropeConvention on preventing and combatting violence against women and domestic violence</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085BC1">
    <w:pPr>
      <w:pStyle w:val="Encabezado"/>
      <w:framePr w:wrap="around" w:vAnchor="text" w:hAnchor="margin" w:xAlign="right" w:y="1"/>
      <w:rPr>
        <w:rStyle w:val="Nmerodepgina"/>
      </w:rPr>
    </w:pPr>
    <w:r w:rsidRPr="00955F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Nmerodepgina"/>
      </w:rPr>
      <w:fldChar w:fldCharType="begin"/>
    </w:r>
    <w:r>
      <w:rPr>
        <w:rStyle w:val="Nmerodepgina"/>
      </w:rPr>
      <w:instrText xml:space="preserve">PAGE  </w:instrText>
    </w:r>
    <w:r>
      <w:rPr>
        <w:rStyle w:val="Nmerodepgina"/>
      </w:rPr>
      <w:fldChar w:fldCharType="end"/>
    </w:r>
  </w:p>
  <w:p w:rsidR="00F45716" w:rsidRDefault="00F45716" w:rsidP="00085BC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Pr="00C128D5" w:rsidRDefault="00F45716" w:rsidP="00085BC1">
    <w:pPr>
      <w:pStyle w:val="Encabezado"/>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pPr>
      <w:pStyle w:val="Encabezado"/>
    </w:pPr>
    <w:r w:rsidRPr="00955F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BD706A">
    <w:pPr>
      <w:pStyle w:val="Encabezado"/>
      <w:framePr w:wrap="around" w:vAnchor="text" w:hAnchor="margin" w:xAlign="right" w:y="1"/>
      <w:rPr>
        <w:rStyle w:val="Nmerodepgina"/>
      </w:rPr>
    </w:pPr>
    <w:r w:rsidRPr="00955F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Nmerodepgina"/>
      </w:rPr>
      <w:fldChar w:fldCharType="begin"/>
    </w:r>
    <w:r>
      <w:rPr>
        <w:rStyle w:val="Nmerodepgina"/>
      </w:rPr>
      <w:instrText xml:space="preserve">PAGE  </w:instrText>
    </w:r>
    <w:r>
      <w:rPr>
        <w:rStyle w:val="Nmerodepgina"/>
      </w:rPr>
      <w:fldChar w:fldCharType="end"/>
    </w:r>
  </w:p>
  <w:p w:rsidR="00F45716" w:rsidRDefault="00F45716" w:rsidP="007D6455">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Pr="008F773C" w:rsidRDefault="00F45716" w:rsidP="008F773C">
    <w:pPr>
      <w:pStyle w:val="Encabezado"/>
      <w:tabs>
        <w:tab w:val="clear" w:pos="8640"/>
        <w:tab w:val="right" w:pos="9000"/>
      </w:tabs>
      <w:ind w:right="71"/>
      <w:jc w:val="right"/>
      <w:rPr>
        <w:rFonts w:ascii="Verdana" w:hAnsi="Verdana"/>
        <w:sz w:val="20"/>
        <w:szCs w:val="20"/>
      </w:rPr>
    </w:pPr>
    <w:r w:rsidRPr="008F773C">
      <w:rPr>
        <w:rStyle w:val="Nmerodepgina"/>
        <w:rFonts w:ascii="Verdana" w:hAnsi="Verdana"/>
        <w:sz w:val="20"/>
        <w:szCs w:val="20"/>
      </w:rPr>
      <w:fldChar w:fldCharType="begin"/>
    </w:r>
    <w:r w:rsidRPr="008F773C">
      <w:rPr>
        <w:rStyle w:val="Nmerodepgina"/>
        <w:rFonts w:ascii="Verdana" w:hAnsi="Verdana"/>
        <w:sz w:val="20"/>
        <w:szCs w:val="20"/>
      </w:rPr>
      <w:instrText xml:space="preserve"> PAGE </w:instrText>
    </w:r>
    <w:r w:rsidRPr="008F773C">
      <w:rPr>
        <w:rStyle w:val="Nmerodepgina"/>
        <w:rFonts w:ascii="Verdana" w:hAnsi="Verdana"/>
        <w:sz w:val="20"/>
        <w:szCs w:val="20"/>
      </w:rPr>
      <w:fldChar w:fldCharType="separate"/>
    </w:r>
    <w:r w:rsidR="00D40CDF">
      <w:rPr>
        <w:rStyle w:val="Nmerodepgina"/>
        <w:rFonts w:ascii="Verdana" w:hAnsi="Verdana"/>
        <w:noProof/>
        <w:sz w:val="20"/>
        <w:szCs w:val="20"/>
      </w:rPr>
      <w:t>32</w:t>
    </w:r>
    <w:r w:rsidRPr="008F773C">
      <w:rPr>
        <w:rStyle w:val="Nmerodepgina"/>
        <w:rFonts w:ascii="Verdana" w:hAnsi="Verdana"/>
        <w:sz w:val="20"/>
        <w:szCs w:val="20"/>
      </w:rPr>
      <w:fldChar w:fldCharType="end"/>
    </w:r>
    <w:r w:rsidRPr="00955FE6">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pPr>
      <w:pStyle w:val="Encabezado"/>
    </w:pPr>
    <w:r w:rsidRPr="00955F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16" w:rsidRDefault="00F45716" w:rsidP="008F773C">
    <w:pPr>
      <w:pStyle w:val="Encabezado"/>
      <w:tabs>
        <w:tab w:val="clear" w:pos="8640"/>
        <w:tab w:val="right" w:pos="9000"/>
      </w:tabs>
      <w:ind w:right="71"/>
      <w:jc w:val="right"/>
      <w:rPr>
        <w:rStyle w:val="Nmerodepgina"/>
        <w:rFonts w:ascii="Verdana" w:hAnsi="Verdana"/>
        <w:sz w:val="20"/>
        <w:szCs w:val="20"/>
      </w:rPr>
    </w:pPr>
    <w:r w:rsidRPr="008F773C">
      <w:rPr>
        <w:rStyle w:val="Nmerodepgina"/>
        <w:rFonts w:ascii="Verdana" w:hAnsi="Verdana"/>
        <w:sz w:val="20"/>
        <w:szCs w:val="20"/>
      </w:rPr>
      <w:fldChar w:fldCharType="begin"/>
    </w:r>
    <w:r w:rsidRPr="008F773C">
      <w:rPr>
        <w:rStyle w:val="Nmerodepgina"/>
        <w:rFonts w:ascii="Verdana" w:hAnsi="Verdana"/>
        <w:sz w:val="20"/>
        <w:szCs w:val="20"/>
      </w:rPr>
      <w:instrText xml:space="preserve"> PAGE </w:instrText>
    </w:r>
    <w:r w:rsidRPr="008F773C">
      <w:rPr>
        <w:rStyle w:val="Nmerodepgina"/>
        <w:rFonts w:ascii="Verdana" w:hAnsi="Verdana"/>
        <w:sz w:val="20"/>
        <w:szCs w:val="20"/>
      </w:rPr>
      <w:fldChar w:fldCharType="separate"/>
    </w:r>
    <w:r w:rsidR="00D40CDF">
      <w:rPr>
        <w:rStyle w:val="Nmerodepgina"/>
        <w:rFonts w:ascii="Verdana" w:hAnsi="Verdana"/>
        <w:noProof/>
        <w:sz w:val="20"/>
        <w:szCs w:val="20"/>
      </w:rPr>
      <w:t>i</w:t>
    </w:r>
    <w:r w:rsidRPr="008F773C">
      <w:rPr>
        <w:rStyle w:val="Nmerodepgina"/>
        <w:rFonts w:ascii="Verdana" w:hAnsi="Verdana"/>
        <w:sz w:val="20"/>
        <w:szCs w:val="20"/>
      </w:rPr>
      <w:fldChar w:fldCharType="end"/>
    </w:r>
  </w:p>
  <w:p w:rsidR="00F45716" w:rsidRPr="008F773C" w:rsidRDefault="00F45716" w:rsidP="008F773C">
    <w:pPr>
      <w:pStyle w:val="Encabezado"/>
      <w:tabs>
        <w:tab w:val="clear" w:pos="8640"/>
        <w:tab w:val="right" w:pos="9000"/>
      </w:tabs>
      <w:ind w:right="71"/>
      <w:jc w:val="right"/>
      <w:rPr>
        <w:rFonts w:ascii="Verdana" w:hAnsi="Verdana"/>
        <w:sz w:val="20"/>
        <w:szCs w:val="20"/>
      </w:rPr>
    </w:pPr>
    <w:r w:rsidRPr="00955FE6">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s-MX" w:vendorID="64" w:dllVersion="131078" w:nlCheck="1" w:checkStyle="1"/>
  <w:stylePaneFormatFilter w:val="3F01"/>
  <w:documentProtection w:edit="forms" w:enforcement="1"/>
  <w:defaultTabStop w:val="720"/>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16BA"/>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BA9"/>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264"/>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0D92"/>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22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B6C"/>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BE6"/>
    <w:rsid w:val="00800CB2"/>
    <w:rsid w:val="008019E4"/>
    <w:rsid w:val="008026AA"/>
    <w:rsid w:val="008028EF"/>
    <w:rsid w:val="00803809"/>
    <w:rsid w:val="00803D3E"/>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5FE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5F31"/>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5E3C"/>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8D1"/>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5"/>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0CDF"/>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8BD"/>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6DF"/>
    <w:rsid w:val="00E178A8"/>
    <w:rsid w:val="00E178BD"/>
    <w:rsid w:val="00E21CC2"/>
    <w:rsid w:val="00E22532"/>
    <w:rsid w:val="00E22858"/>
    <w:rsid w:val="00E23A9F"/>
    <w:rsid w:val="00E248C0"/>
    <w:rsid w:val="00E24CD9"/>
    <w:rsid w:val="00E24F30"/>
    <w:rsid w:val="00E251EB"/>
    <w:rsid w:val="00E26074"/>
    <w:rsid w:val="00E262F7"/>
    <w:rsid w:val="00E26E2C"/>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E7E1B"/>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813"/>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1D44"/>
    <w:rsid w:val="00F42269"/>
    <w:rsid w:val="00F43652"/>
    <w:rsid w:val="00F436EF"/>
    <w:rsid w:val="00F4390A"/>
    <w:rsid w:val="00F43965"/>
    <w:rsid w:val="00F43E65"/>
    <w:rsid w:val="00F44E2B"/>
    <w:rsid w:val="00F45716"/>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7691D"/>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Ttulo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6659E"/>
    <w:pPr>
      <w:keepNext/>
      <w:ind w:left="75"/>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266EB"/>
    <w:pPr>
      <w:tabs>
        <w:tab w:val="center" w:pos="4320"/>
        <w:tab w:val="right" w:pos="8640"/>
      </w:tabs>
    </w:pPr>
  </w:style>
  <w:style w:type="paragraph" w:styleId="Piedepgina">
    <w:name w:val="footer"/>
    <w:basedOn w:val="Normal"/>
    <w:rsid w:val="002266EB"/>
    <w:pPr>
      <w:tabs>
        <w:tab w:val="center" w:pos="4320"/>
        <w:tab w:val="right" w:pos="8640"/>
      </w:tabs>
    </w:pPr>
  </w:style>
  <w:style w:type="paragraph" w:styleId="Textonotapie">
    <w:name w:val="footnote text"/>
    <w:basedOn w:val="Normal"/>
    <w:link w:val="TextonotapieCar"/>
    <w:semiHidden/>
    <w:rsid w:val="002266EB"/>
    <w:rPr>
      <w:sz w:val="20"/>
      <w:szCs w:val="20"/>
    </w:rPr>
  </w:style>
  <w:style w:type="character" w:styleId="Refdenotaalpie">
    <w:name w:val="footnote reference"/>
    <w:semiHidden/>
    <w:rsid w:val="002266EB"/>
    <w:rPr>
      <w:vertAlign w:val="superscript"/>
    </w:rPr>
  </w:style>
  <w:style w:type="character" w:styleId="Hipervnculo">
    <w:name w:val="Hyperlink"/>
    <w:rsid w:val="005D0411"/>
    <w:rPr>
      <w:strike w:val="0"/>
      <w:dstrike w:val="0"/>
      <w:color w:val="01849B"/>
      <w:u w:val="none"/>
      <w:effect w:val="none"/>
    </w:rPr>
  </w:style>
  <w:style w:type="paragraph" w:styleId="Textodeglobo">
    <w:name w:val="Balloon Text"/>
    <w:basedOn w:val="Normal"/>
    <w:semiHidden/>
    <w:rsid w:val="00EC0B22"/>
    <w:rPr>
      <w:rFonts w:ascii="Tahoma" w:hAnsi="Tahoma" w:cs="Tahoma"/>
      <w:sz w:val="16"/>
      <w:szCs w:val="16"/>
    </w:rPr>
  </w:style>
  <w:style w:type="table" w:styleId="Tablaconcuadrcula">
    <w:name w:val="Table Grid"/>
    <w:basedOn w:val="Tabla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merodepgina">
    <w:name w:val="page number"/>
    <w:basedOn w:val="Fuentedeprrafopredeter"/>
    <w:rsid w:val="007316D2"/>
  </w:style>
  <w:style w:type="character" w:styleId="Refdecomentario">
    <w:name w:val="annotation reference"/>
    <w:semiHidden/>
    <w:rsid w:val="00E80590"/>
    <w:rPr>
      <w:sz w:val="16"/>
      <w:szCs w:val="16"/>
    </w:rPr>
  </w:style>
  <w:style w:type="paragraph" w:styleId="Textocomentario">
    <w:name w:val="annotation text"/>
    <w:basedOn w:val="Normal"/>
    <w:semiHidden/>
    <w:rsid w:val="00E80590"/>
    <w:rPr>
      <w:sz w:val="20"/>
      <w:szCs w:val="20"/>
    </w:rPr>
  </w:style>
  <w:style w:type="paragraph" w:styleId="Asuntodelcomentario">
    <w:name w:val="annotation subject"/>
    <w:basedOn w:val="Textocomentario"/>
    <w:next w:val="Textocomentario"/>
    <w:semiHidden/>
    <w:rsid w:val="00E80590"/>
    <w:rPr>
      <w:b/>
      <w:bCs/>
    </w:rPr>
  </w:style>
  <w:style w:type="paragraph" w:styleId="Textoindependien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Textoindependien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nf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D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D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TextonotapieCar">
    <w:name w:val="Texto nota pie Car"/>
    <w:link w:val="Textonotapie"/>
    <w:rsid w:val="009D4FF4"/>
    <w:rPr>
      <w:rFonts w:eastAsia="Batang"/>
      <w:lang w:val="en-US" w:eastAsia="en-US" w:bidi="ar-SA"/>
    </w:rPr>
  </w:style>
  <w:style w:type="paragraph" w:styleId="TDC3">
    <w:name w:val="toc 3"/>
    <w:basedOn w:val="Normal"/>
    <w:next w:val="Normal"/>
    <w:autoRedefine/>
    <w:semiHidden/>
    <w:rsid w:val="00B122AA"/>
    <w:pPr>
      <w:tabs>
        <w:tab w:val="right" w:leader="dot" w:pos="9072"/>
      </w:tabs>
      <w:ind w:left="480"/>
    </w:pPr>
  </w:style>
  <w:style w:type="character" w:customStyle="1" w:styleId="EncabezadoCar">
    <w:name w:val="Encabezado Car"/>
    <w:link w:val="Encabezado"/>
    <w:locked/>
    <w:rsid w:val="0018795C"/>
    <w:rPr>
      <w:rFonts w:eastAsia="Batang"/>
      <w:sz w:val="24"/>
      <w:szCs w:val="24"/>
      <w:lang w:val="en-US" w:eastAsia="en-US" w:bidi="ar-SA"/>
    </w:rPr>
  </w:style>
  <w:style w:type="paragraph" w:styleId="Prrafodelista">
    <w:name w:val="List Paragraph"/>
    <w:basedOn w:val="Normal"/>
    <w:uiPriority w:val="34"/>
    <w:qFormat/>
    <w:rsid w:val="00CD1465"/>
    <w:pPr>
      <w:ind w:left="720"/>
      <w:contextualSpacing/>
    </w:p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5A70-B6B2-47D7-92AA-6EE9C354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8834</Words>
  <Characters>48587</Characters>
  <Application>Microsoft Office Word</Application>
  <DocSecurity>0</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57307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2014-08-26T15:42:00Z</dcterms:created>
  <dcterms:modified xsi:type="dcterms:W3CDTF">2014-08-26T18:45:00Z</dcterms:modified>
</cp:coreProperties>
</file>